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2021年度扬州市妇幼保健院单位决算公开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提高本地区妇女、儿童群体的健康水平和人口质量为目标，以妇女保健、儿童保健、计划生育技术指导、优生优育为中心任务，指导基层的重点保健与临床相结合的业务，肩负着本地区妇女、儿童健康规划的实施与监测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提供全面的、系统、连续的妇女保健、儿童保健、计划生育技术、优生优育及妇产科、儿科的保健医疗服务，解决本地妇幼保健、计划生育技术服务、优生优育、妇产科、儿科的疑难疾病的会诊和治疗，承担所辖县（市、区）的会诊、转诊任务并执行双向转诊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3、掌握本地区妇女儿童的健康状况、健康问题、主要疾病、孕产妇和婴儿死亡情况及主要死因，协助卫生行政部门制定妇幼卫生发展规划以及防治计划并牵头实施。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4、承担本地区妇幼卫生业务工作和计划生育技术工作、信息统计工作及基层培训工作的质量监测和质量评审。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5、承担基层医疗保健单位妇幼卫生人员的专业进修、本院人员的在职教育并全面掌握本地区妇幼卫生技术人员的现状，协助卫生行政部门制定培训规划并组织实施。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6、负责本地区妇幼卫生常规报告，抽样调查，监测点的数据收集、整理、分析、储存并按规定时间上报。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7、负责本地区妇幼卫生、计划生育、优生优育方面的健康教育和健康教育材料的制作、基层人员培训工作。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职能科室：办公室（院办、党办）、组织宣传处、监察室、医务处、护理部、人事处、财务处、总务处、质量管理科、科教处、医疗设备科、信息科、保健部、门诊部、医疗保险办公室、审计科、保卫处、感染管理科。（二）临床科室：产科、妇科、生育技术科、普儿科、新生儿科、乳腺科、外科及儿外科、骨伤科、肛肠科、急诊科、内科、麻醉科。（三）医技科室：放射科、超声科、检验科、病理科、药事科、营养科。（四）保健科室：群体保健科、妇女保健科、儿童保健科、生殖健康科、儿童康复科、口腔保健科。（五）其他：扬州市产前诊断（筛查）中心、江苏省新生儿筛查扬州分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法治卫生建设。一是认真执行《执业医师法》、《母婴保健法》、《医疗机构管理条例》、《护士条例》等法律法规。二是深入推进全面从严治党，行风作风建设稳中向好：1、多举措推进正风肃纪向纵深发展。2、多方位厚植妇幼文化底蕴。3、多形式加强作风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易地新建扬州市妇女儿童医院。在江广融合地带规划选址，联合建设全市妇女儿童医院。组织新院物流、医用气体等医疗专项工程调研论证，推进B地块立项审批。年内已完成土建工程A地块封顶、信息化建设方案初步制定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抓细抓实常态化疫情防控措施，平战结合能力显著增强。一是全面提升疫情防控能力。二是强化防控措施督查改进。三是完善院感防控长效机制。成立公共卫生科，选优配备公卫、院感力量，提升公共卫生事件应对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科教研建设。年内获市厅级科研立项9项。获江苏省预防医学会科技奖三等奖1项，扬州市医学新技术引进奖一等奖3项，二等奖2项。发表论文共67篇，举办继续医学教育培训班省级1项，市级12项。全年外出进修33人次。开展院内妇幼健康服务技能竞赛。对各类重点专科完成2021年度总结及汇报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加强学科建设。一是扎实推进分级诊疗和运营管理。与北京儿童医院新建技术合作关系。二是全力抓好学科建设。妇科、产科被评为省第三周期妇幼健康重点学科，小儿外科评为市级临床重点专科。三是持续打造特色服务。开设新生儿护理等特色门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（六）人才队伍建设。制定了2021—2023年人才培养实施方案，修订了专业技术职务聘任管理办法，继续做好人才招聘贮备工作，年内招录各类人员45名，成功引进博士1名，为儿童医院发展打牢基础。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信息化建设。按照国家卫健委提出的“三位一体”信息化建设框架及要求，医院以服务患者为核心，围绕临床服务和运营管理两条主线，实施智慧医疗、智慧服务和智慧管理为主要内容的医院信息化建设，建立起以病人为中心、以电子病历为核心、以管理决策为抓手的智慧服务系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行业管理。一是妇幼健康宏观管理得到强化。协助成立了全市基本公卫妇幼项目技术指导组并制定了项目实施方案。二是技术中心指导作用得到强化。医学遗传中心、孕产妇和新生儿危急重症救治中心、儿童保健中心得到强化。三是群保指导作用得到强化。落实重大妇幼卫生项目，加强“两癌”项目现场质控和业务培训，全年对全市重大妇幼卫生项目各项工作的指导督查。</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扬州市妇幼保健院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扬州市妇幼保健院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2,187.30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24,079.31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1,524.59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28,289.84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1,915.33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27,791.20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30,214.17</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13,900.66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11,477.69</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41,691.86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41,691.86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27,791.20</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2,187.30</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24,079.31</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1,524.59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25,866.87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2,178.30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22,163.98</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1,524.59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公立医院</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25,841.40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22,163.98</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1,524.59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妇幼保健医院</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25,055.79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1,367.22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22,163.98</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1,524.59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其他公立医院支出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785.61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785.61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其他公共卫生支出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1,915.33</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1,915.33</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626.31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626.31</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1,289.02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1,289.02</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30,214.17</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28,993.12</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1,221.05</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28,289.84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27,077.79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1,212.05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公立医院</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28,264.37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27,077.79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1,186.58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妇幼保健医院</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27,478.76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27,077.79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400.97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其他公立医院支出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785.61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785.61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25.47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25.47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1,915.33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1,915.33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1,915.33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1,915.33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626.31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626.31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1,289.02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1,289.02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2,187.30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2,178.30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2,178.30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2,187.30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2,187.30</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2,187.30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2,187.30</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2,187.30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2,187.30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2,187.30</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978.22</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1,209.08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2,178.30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公立医院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1,174.61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妇幼保健医院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其他公立医院支出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2,187.30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1,209.08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公立医院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妇幼保健医院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其他公立医院支出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785.61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785.61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无一般公共预算“三公”经费、会议费、培训费支出决算，故本表为空。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无一般公共预算机关运行经费支出决算，故本表为空。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2021年度收入、支出决算总计41,691.86万元。与上年相比，收、支总计各减少2,862.07万元，减少6.42%。其中：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（一）收入决算总计41,691.86万元。包括：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27,791.2万元。与上年相比，减少666.94万元，减少2.34%，变动原因：1、财政项目补助方面：新冠肺炎减少208.44万元，设备购置费减少620万元，公共卫生项目减少93.5万元，重点学科增加225.18万元，药品零差价减少11.39万元，新生儿急救中心减少8万元。2、医疗收入方面：是因为门诊、住院收入的减少；3、其他收入方面：是因为2021年利息收入、房租收入、车库收入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3.年初结转和结余13,900.66万元。与上年相比，减少2,195.13万元，减少13.64%，变动原因：2020年度预算收支差额为2195.13万元，引起的年初结转结余数变动。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（二）支出决算总计41,691.86万元。包括：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30,214.17万元。与上年相比，减少439.1万元，减少1.43%，变动原因：1、基本支出方面：在职人员经费增加，收入减少相应公用支出减少；2、财政项目支出方面：新冠肺炎减少208.44万元，设备购置费减少620万元，公共卫生项目减少93.5万元，重点学科增加225.18万元，药品零差价减少11.39万元，新生儿急救中心减少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3.年末结转和结余11,477.69万元。结转和结余事项：基本支出结转和结余11477.69万元。与上年相比，减少2,422.97万元，减少17.43%，变动原因：2021年度预算收支差额为2422.97万元，引起的年初结转结余数变动。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27,791.2万元，其中：财政拨款收入2,187.3万元，占7.87%；上级补助收入0万元，占0%；财政专户管理教育收费0万元，占0%；事业收入（不含专户管理教育收费）24,079.31万元，占86.64%；经营收入0万元，占0%；附属单位上缴收入0万元，占0%；其他收入1,524.59万元，占5.49%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2021年度本年支出决算合计30,214.17万元，其中：基本支出28,993.12万元，占95.96%；项目支出1,221.05万元，占4.04%；上缴上级支出0万元，占0%；经营支出0万元，占0%；对附属单位补助支出0万元，占0%。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2,187.3万元。与上年相比，收、支总计各减少716.55万元，减少24.68%，变动原因：财政项目补助收入、支出减少，新冠肺炎减少208.44万元，设备购置费减少620万元，公共卫生项目减少93.5万元，重点学科增加225.18万元，药品零差价减少11.39万元，新生儿急救中心减少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2021年度财政拨款支出决算2,187.3万元，占本年支出合计的7.24%。与2021年度财政拨款支出年初预算1,198.22万元相比，完成年初预算的182.55%。其中：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年初预算0万元，支出决算9万元，（年初预算数为0万元，无法计算完成比率）。决算数与年初预算数的差异原因：增加英才培育计划专项资金1万、名师工作室8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1.公立医院（款）妇幼保健医院（项）。年初预算1,198.22万元，支出决算1,367.22万元，完成年初预算的114.1%。决算数与年初预算数的差异原因：增加财政贴息137万元，药品零差价32万元。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立医院（款）其他公立医院支出（项）。年初预算0万元，支出决算785.61万元，（年初预算数为0万元，无法计算完成比率）。决算数与年初预算数的差异原因：增加财政贴息、药品零差价、公立医院改革专项、公共卫生疫情防控、重点学科重点人才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3.公共卫生（款）基本公共卫生服务（项）。年初预算0万元，支出决算0.5万元，（年初预算数为0万元，无法计算完成比率）。决算数与年初预算数的差异原因：增加成本价格监测专项0.5万元。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共卫生（款）重大公共卫生服务（项）。年初预算0万元，支出决算22万元，（年初预算数为0万元，无法计算完成比率）。决算数与年初预算数的差异原因：增加龋齿防治9万元，近视筛查11万元，突发公共卫生应急处置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5.公共卫生（款）其他公共卫生支出（项）。年初预算0万元，支出决算2.97万元，（年初预算数为0万元，无法计算完成比率）。决算数与年初预算数的差异原因：增加食品安全监测1万元，新冠肺炎1.97万元。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（一）人员经费978.22万元。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主要包括：基本工资、离休费。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2,187.3万元。与上年相比，增加163.45万元，增长8.08%，变动原因：财政项目支出增加，新冠肺炎增加51.56万元，重点学科增加225.18万元，公共卫生项目减少93.5万元，药品零差价减少11.39万元，新生儿急救中心减少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（一）人员经费978.22万元。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主要包括：基本工资、离休费。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2．公务用车购置及运行维护费支出预算0万元，支出决算0万元，完成预算的100%，决算数与预算数相同。其中：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3．公务接待费支出预算0万元，支出决算0万元，完成预算的100%，决算数与预算数相同。其中：国内公务接待支出0万元，接待0批次，0人次；国（境）外公务接待支出0万元，接待0批次0人次。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2021年度一般公共预算财政拨款会议费支出预算0万元，支出决算0万元，完成预算的100%，决算数与预算数相同。2021年度全年召开会议0个，参加会议0人次。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2021年度一般公共预算财政拨款培训费支出预算0万元，支出决算0万元，完成预算的100%，决算数与预算数相同。2021年度全年组织培训0个，组织培训0人次。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2021年度政府性基金预算财政拨款支出决算0万元。与上年相比，减少880万元，减少100%，变动原因：减少新冠肺炎PCR实验室260万元，设备购置620万元。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4辆，其中：副部(省)级及以上领导用车0辆、主要领导干部用车0辆、机要通信用车0辆、应急保障用车0辆、执法执勤用车0辆、特种专业技术用车2辆、离退休干部用车0辆、其他用车2辆；单价50万元（含）以上的通用设备1台（套），单价100万元（含）以上的专用设备23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2021年度，本单位共0个项目开展了财政重点绩效评价，涉及财政性资金合计0万元；本单位开展单位整体支出财政重点绩效评价，涉及财政性资金2,187.3万元。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本单位共对上年度已实施完成的0个项目开展了绩效自评价，涉及财政性资金合计0万元；本单位共开展1项单位整体支出绩效自评价，涉及财政性资金合计2,903.85万元。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二十、卫生健康支出(类)公立医院(款)妇幼保健医院(项)</w:t>
      </w:r>
      <w:r>
        <w:rPr>
          <w:rFonts w:ascii="仿宋" w:hAnsi="仿宋" w:cs="仿宋" w:eastAsia="仿宋"/>
          <w:b w:val="true"/>
        </w:rPr>
        <w:t>：</w:t>
      </w:r>
      <w:r>
        <w:rPr>
          <w:rFonts w:hint="eastAsia" w:ascii="仿宋" w:hAnsi="仿宋" w:eastAsia="仿宋" w:cs="仿宋"/>
        </w:rPr>
        <w:t>反映卫生健康、中医部门所属的专门从事妇产、妇幼保健医院的支出。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二十一、卫生健康支出(类)公立医院(款)其他公立医院支出(项)</w:t>
      </w:r>
      <w:r>
        <w:rPr>
          <w:rFonts w:ascii="仿宋" w:hAnsi="仿宋" w:cs="仿宋" w:eastAsia="仿宋"/>
          <w:b w:val="true"/>
        </w:rPr>
        <w:t>：</w:t>
      </w:r>
      <w:r>
        <w:rPr>
          <w:rFonts w:hint="eastAsia" w:ascii="仿宋" w:hAnsi="仿宋" w:eastAsia="仿宋" w:cs="仿宋"/>
        </w:rPr>
        <w:t>反映除上述项目以外的其他用于公立医院方面的支出。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扬州市妇幼保健院</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