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2022年度扬州市妇幼保健院单位决算公开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2</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2022年度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财政拨款“三公”经费、会议费和培训费支出决算表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2022年度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提高本地区妇女、儿童群体的健康水平和人口质量为目标，以妇女保健、儿童保健、计划生育技术指导、优生优育为中心任务，指导基层的重点保健与临床相结合的业务，肩负着本地区妇女、儿童健康规划的实施与监测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提供全面的、系统、连续的妇女保健、儿童保健、计划生育技术、优生优育及妇产科、儿科的保健医疗服务，解决本地妇幼保健、计划生育技术服务、优生优育、妇产科、儿科的疑难疾病的会诊和治疗，承担所辖县（市、区）的会诊、转诊任务并执行双向转诊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3、掌握本地区妇女儿童的健康状况、健康问题、主要疾病、孕产妇和婴儿死亡情况及主要死因，协助卫生行政部门制定妇幼卫生发展规划以及防治计划并牵头实施。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4、承担本地区妇幼卫生业务工作和计划生育技术工作、信息统计工作及基层培训工作的质量监测和质量评审。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5、承担基层医疗保健单位妇幼卫生人员的专业进修、本院人员的在职教育并全面掌握本地区妇幼卫生技术人员的现状，协助卫生行政部门制定培训规划并组织实施。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6、负责本地区妇幼卫生常规报告，抽样调查，监测点的数据收集、整理、分析、储存并按规定时间上报。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7、负责本地区妇幼卫生、计划生育、优生优育方面的健康教育和健康教育材料的制作、基层人员培训工作。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职能科室25个、临床科室27个、医技科室8个、保健科室22个、其他科室2个。其中：一级科室44个，二级科室40个。</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2022</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统筹推进疫情防控与医疗保健。2022年，门急诊39.71万人次，出院1.45万人次。平稳有序实施“乙类乙管”，扩容重症救治能力，全力做好孕产妇、儿童等重点人群医疗救治。推进业务发展。开展生育全程一站式服务，努力提升辖区分娩数占比。全方位关爱女性健康，创成“江苏省产后康复实训基地”，牵头成立了扬州市新生儿质控中心，综合救治管理各类危重新生儿，降低了扬州地区新生儿死亡率。开展“京沪宁扬”巡回义诊，市民在家门口即可享受北京、上海、省内知名专家服务。加强辖区管理。在市卫健委坚强领导下，我院履行辖区妇幼保健工作指导和督查职能，通过孕群保辖区管理职能推动业务发展，参与基层单位的产科业务指导工作，畅通双向转诊绿色通道，兜底孕产妇、新生儿危重症救治。0~6岁儿童健康管理指标全面向好，全市儿童视力建档和管理工作，连续两年全省排名第三。</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学科能力与人才队伍协同发展。加强专科建设。对标妇女儿童医院建设标准，以重点专科建设为抓手，一体化推进产科品牌化建设、妇儿亚专科建设、多学科协调发展，妇产科和儿科列为省临床重点专科培育对象、病理科列为市临床重点专科培育对象。强化技术储备。与北京、上海、南京儿童医院深化战略合作，提升呼吸重症患儿救治水平，强化小儿骨科及普外专科团队。坚持科教强院。获得厅市级科研立项7项，厅市级新技术奖7项；发表论文共67篇，其中核心17篇；获得省市技能竞赛省级二等奖5次，市级一等奖1次，认真抓好新冠肺炎疫情常态化防控措施落实，加强医务人员技能培训、做好教学管理、实施继续教育项目。坚持人才兴院。根据特色专科的长远定位，制定了院内学科带头人和后备人才选拔培养方案，市级层面和我院均出台了加大高层次人才和学科带头人引进力度政策。</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强化医院管理助推高质量发展。明确医院管理方向。根据国家妇幼保健机构绩效考核标准，补短板、强弱项，明确努力方向。建立三级预算管理模式。将全院各项收、支、工作量、资产、维修、运营效率指标等全部纳入预算系统。实施绩效考核改革。实行新的以RBRVS项目工作量为基础、以关键指标（KPI）为导向、以合理的成本分摊为手段的新绩效分配方案，激励医务人员优劳优酬、开展新技术新项目、加强成本管控意识。积极筹划DIP支付改革。开展多轮多层级培训，以主要病种DIP模拟结算结果为依据，确保医保信息业务编码落地和落实。</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坚持党建与业务深度融合。高标准组织学习宣传贯彻党的二十大精神，不折不扣贯彻落实习近平总书记重要讲话指示精神，坚定拥护“两个确立”、坚决做到“两个维护”。一年来，医院荣获“江苏省文明单位”、“江苏省五四红旗团委”等称号，新生儿科荣获“全国巾帼文明岗”，王亦雄同志荣获“全国五一劳动奖章”。</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扬州市妇幼保健院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2022</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扬州市妇幼保健院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2,851.36</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13,900.00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27,903.92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1,830.95</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31,574.83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2,229.34</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1,700.71</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46,486.23</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35,506.88</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0.12</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11,477.69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22,456.92</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57,963.92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57,963.92</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46,486.23</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16,751.36</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27,903.92</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1,830.95</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30,354.89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2,849.36</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25,674.58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1,830.95</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公立医院</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29,805.36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2,299.83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25,674.58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1,830.95</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综合医院</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49.00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妇幼保健医院</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28,511.75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1,006.22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25,674.58</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1,830.95</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其他公立医院支出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1,244.61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1,244.61</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524.53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524.53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基本公共卫生服务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35.40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突发公共卫生事件应急处理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293.13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293.13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其他公共卫生支出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2109999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2,229.34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2,229.34</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2,229.34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2,229.34</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866.29</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866.29</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1,363.05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1,363.05</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其他支出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其他政府性基金及对应专项债务收入安排的支出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2290403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其他政府性基金债务收入安排的支出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13,900.00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13,900.00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35,506.88</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31,924.41</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3,582.47</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31,574.83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29,695.07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1,879.76</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公立医院</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31,025.30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29,695.07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1,330.23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综合医院</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49.00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妇幼保健医院</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29,731.69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29,695.07</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36.62</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其他公立医院支出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1,244.61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1,244.61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524.53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524.53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基本公共卫生服务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35.40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35.40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突发公共卫生事件应急处理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293.13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293.13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其他公共卫生支出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2109999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25.00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2,229.34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2,229.34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2,229.34</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2,229.34</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866.29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866.29</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1,363.05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1,363.05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1,700.71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其他政府性基金及对应专项债务收入安排的支出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1,700.71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2290403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其他政府性基金债务收入安排的支出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1,700.71</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1,700.71</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2,851.36</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13,900.00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2,849.36</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2,849.36</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1,700.71</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1,700.71</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16,751.36</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4,552.07</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2,851.36</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1,700.71</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16,751.36</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16,751.36</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2,851.36</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13,900.00</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4,552.07</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978.22</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3,573.85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2,849.36</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1,871.14</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公立医院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2,299.83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1,321.61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综合医院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49.00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妇幼保健医院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1,006.22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其他公立医院支出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1,244.61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1,244.61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524.53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524.53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35.40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突发公共卫生事件应急处理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293.13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2109999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25.00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1,700.71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其他政府性基金及对应专项债务收入安排的支出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1,700.71</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2290403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其他政府性基金债务收入安排的支出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1,700.71</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1,700.71</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2,851.36</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1,873.14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2,849.36</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1,871.14</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公立医院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2,299.83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1,321.61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综合医院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49.00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妇幼保健医院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1,006.22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28.00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其他公立医院支出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1,244.61</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1,244.61</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524.53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524.53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35.40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突发公共卫生事件应急处理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293.13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2109999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25.00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en-US" w:eastAsia="zh-CN" w:bidi="zh-CN"/>
              </w:rPr>
              <w:t>财政拨款“三公”经费、会议费和培训费支出决算表</w:t>
            </w:r>
            <w:bookmarkStart w:id="0" w:name="_GoBack"/>
            <w:bookmarkEnd w:id="0"/>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“三公”经费、会议费、培训费支出决算，故本表为空。</w:t>
      </w:r>
      <w:r>
        <w:rPr>
          <w:rFonts w:ascii="仿宋" w:hAnsi="仿宋" w:cs="仿宋" w:eastAsia="仿宋"/>
          <w:sz w:val="22"/>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1,700.71</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1,700.71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1,700.71</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1,700.71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22904</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其他政府性基金及对应专项债务收入安排的支出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1,700.71</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1,700.71</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2290403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其他政府性基金债务收入安排的支出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1,700.71</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1,700.71</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3</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无政府采购支出决算，故本表为空。</w:t>
      </w:r>
      <w:r>
        <w:rPr>
          <w:rFonts w:ascii="仿宋" w:hAnsi="仿宋" w:cs="仿宋" w:eastAsia="仿宋"/>
          <w:sz w:val="22"/>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2022</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2022年度收入、支出决算总计57,963.92万元。与上年相比，收、支总计各增加16,272.06万元，增长39.03%。其中：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（一）收入决算总计57,963.92万元。包括：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46,486.23万元。与上年相比，增加18,695.03万元，增长67.27%，变动原因：1、财政项目补助方面：妇女儿童医院专项工程增加13900万元（支出1700.71万元），公立医院化债增加321万元，新冠肺炎293.13万元增加191.16万元，公共卫生项目39.40万元减少134.10万元，2022年财政贴息220万元减少8万元，重点学科715万元增加284万元。2、医疗收入方面：是因为门诊、住院收入的增加；3、其他收入方面：是因为2022年利息收入、房租收入、车库收入、黄码医院及万人核酸实验室款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3.年初结转和结余11,477.69万元。与上年相比，减少2,422.97万元，减少17.43%，变动原因：2021年度预算收支差额为2422.97万元，引起的年初结转结余数变动。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（二）支出决算总计57,963.92万元。包括：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35,506.88万元。与上年相比，增加5,292.71万元，增长17.52%，变动原因：1、基本支出方面：在职人员经费增加，工资调标、公积金、房贴、绩效工资等增加；公用经费、专用材料费、黄码医院及万人核酸实验室支出增加；2、财政项目支出方面：妇女儿童医院专项工程增加支出1700.71万元，公立医院化债增加321万元，新冠肺炎293.13万元增加191.16万元，公共卫生项目39.40万元减少134.10万元，2022年财政贴息220万元减少8万元，重点学科715万元增加284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0.12万元。结余分配事项：提取职工福利基金0.10万元，按收支结余8％提取偿债基金0.02万元。与上年相比，增加0.12万元（上年决算数为0万元，无法计算增减比率），变动原因：2022年度提取职工福利基金和偿债基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22,456.92万元。结转和结余事项：基本支出结转和结余10257.63万元，项目支出结转和结余12199.29万元。与上年相比，增加10,979.23万元，增长95.66%，变动原因：2022年度预算收支差额，引起的年未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收入决算合计46,486.23万元，其中：财政拨款收入16,751.36万元，占36.03%；上级补助收入0万元，占0%；财政专户管理教育收费0万元，占0%；事业收入（不含专户管理教育收费）27,903.92万元，占60.03%；经营收入0万元，占0%；附属单位上缴收入0万元，占0%；其他收入1,830.95万元，占3.94%。</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2022年度本年支出决算合计35,506.88万元，其中：基本支出31,924.41万元，占89.91%；项目支出3,582.47万元，占10.09%；上缴上级支出0万元，占0%；经营支出0万元，占0%；对附属单位补助支出0万元，占0%。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收入、支出决算总计16,751.36万元。与上年相比，收、支总计各增加14,564.06万元，增长665.85%，变动原因：财政项目补助收入、支出增加，妇女儿童医院专项工程增加13900万元（支出1700.71万元），公立医院化债、新冠肺炎补助、重点学科等项目补助增加；公共卫生项目、财政贴息等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2022年度财政拨款支出决算4,552.07万元，占本年支出合计的12.82%。与2022年度财政拨款支出年初预算1,006.22万元相比，完成年初预算的452.39%。其中：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其他科学技术支出（款）其他科学技术支出（项）。年初预算0万元，支出决算2万元，（年初预算数为0万元，无法计算完成比率）决算数与年初预算数的差异原因：增加英才培育计划经费2万元。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1.公立医院（款）综合医院（项）。年初预算0万元，支出决算49万元，（年初预算数为0万元，无法计算完成比率）决算数与年初预算数的差异原因：增加重点学科16万元，医学科研重点人才33万元。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2.公立医院（款）妇幼保健医院（项）。年初预算1,006.22万元，支出决算1,006.22万元，完成年初预算的100%。决算数与年初预算数相同。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立医院（款）其他公立医院支出（项）。年初预算0万元，支出决算1,244.61万元，（年初预算数为0万元，无法计算完成比率）决算数与年初预算数的差异原因：增加财政贴息、药品零差价、公立医院改革专项、公立医院化债、重点学科重点人才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共卫生（款）基本公共卫生服务（项）。年初预算0万元，支出决算4万元，（年初预算数为0万元，无法计算完成比率）决算数与年初预算数的差异原因：增加成本价格监测专项0.5万元，基本公卫3万元，食品安全监测0.5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5.公共卫生（款）重大公共卫生服务（项）。年初预算0万元，支出决算35.4万元，（年初预算数为0万元，无法计算完成比率）决算数与年初预算数的差异原因：增加龋齿防治23.60万元，近视筛查11.80万元。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6.公共卫生（款）突发公共卫生事件应急处理（项）。年初预算0万元，支出决算293.13万元，（年初预算数为0万元，无法计算完成比率）决算数与年初预算数的差异原因：增加疫情防控资金293.13万元。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7.公共卫生（款）其他公共卫生支出（项）。年初预算0万元，支出决算192万元，（年初预算数为0万元，无法计算完成比率）决算数与年初预算数的差异原因：增加育龄妇女生殖健康普查192万元。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8.其他卫生健康支出（款）其他卫生健康支出（项）。年初预算0万元，支出决算25万元，（年初预算数为0万元，无法计算完成比率）决算数与年初预算数的差异原因：增加重点人才培养25万元。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政府性基金及对应专项债务收入安排的支出（款）其他政府性基金债务收入安排的支出（项）。年初预算0万元，支出决算1,700.71万元，（年初预算数为0万元，无法计算完成比率）决算数与年初预算数的差异原因：增加妇女儿童医院专项工程1700.71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2022年度财政拨款基本支出决算978.22万元，其中：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（一）人员经费978.22万元。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支出决算2,851.36万元。与上年相比，增加664.06万元，增长30.36%，变动原因：财政项目补助支出增加，公立医院化债、新冠肺炎补助、重点学科等项目补助增加；公共卫生项目、财政贴息等项目减少。</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2022年度一般公共预算财政拨款基本支出决算978.22万元，其中：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（一）人员经费978.22万元。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九、财政拨款“三公”经费、会议费和培训费支出情况说明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2022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2022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2022年度政府性基金预算财政拨款支出决算1,700.71万元。与上年相比，增加1,700.71万元（上年决算数为0万元，无法计算增减比率），变动原因：增加妇女儿童医院专项工程支出1700.71万元。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2022年度政府采购支出总额0万元，其中：政府采购货物支出0万元、政府采购工程支出0万元、政府采购服务支出0万元。政府采购授予中小企业合同金额0万元，其中：授予小微企业合同金额0万元。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2022年12月31日，本单位共有车辆4辆，其中：副部(省)级及以上领导用车0辆、主要领导干部用车0辆、机要通信用车0辆、应急保障用车0辆、执法执勤用车0辆、特种专业技术用车2辆、离退休干部用车0辆、其他用车2辆；单价50万元（含）以上的通用设备1台（套），单价100万元（含）以上的专用设备27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2022年度，本单位共12个项目开展了财政重点绩效评价，涉及财政性资金合计15,773.14万元；本单位开展单位整体支出财政重点绩效评价，涉及财政性资金16,751.36万元。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本单位共对上年度已实施完成的0个项目开展了绩效自评价，涉及财政性资金合计0万元；本单位共开展1项单位整体支出绩效自评价，涉及财政性资金合计2,187.3万元。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十九、科学技术支出(类)其他科学技术支出(款)其他科学技术支出(项)</w:t>
      </w:r>
      <w:r>
        <w:rPr>
          <w:rFonts w:ascii="仿宋" w:hAnsi="仿宋" w:cs="仿宋" w:eastAsia="仿宋"/>
          <w:b w:val="true"/>
        </w:rPr>
        <w:t>：</w:t>
      </w:r>
      <w:r>
        <w:rPr>
          <w:rFonts w:hint="eastAsia" w:ascii="仿宋" w:hAnsi="仿宋" w:eastAsia="仿宋" w:cs="仿宋"/>
        </w:rPr>
        <w:t>反映其他科学技术支出中除以上各项外用于科技方面的支出。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二十、卫生健康支出(类)公立医院(款)综合医院(项)</w:t>
      </w:r>
      <w:r>
        <w:rPr>
          <w:rFonts w:ascii="仿宋" w:hAnsi="仿宋" w:cs="仿宋" w:eastAsia="仿宋"/>
          <w:b w:val="true"/>
        </w:rPr>
        <w:t>：</w:t>
      </w:r>
      <w:r>
        <w:rPr>
          <w:rFonts w:hint="eastAsia" w:ascii="仿宋" w:hAnsi="仿宋" w:eastAsia="仿宋" w:cs="仿宋"/>
        </w:rPr>
        <w:t>反映卫生健康、中医部门所属的城市综合性医院、独立门诊、教学医院、疗养院和县医院的支出。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二十一、卫生健康支出(类)公立医院(款)妇幼保健医院(项)</w:t>
      </w:r>
      <w:r>
        <w:rPr>
          <w:rFonts w:ascii="仿宋" w:hAnsi="仿宋" w:cs="仿宋" w:eastAsia="仿宋"/>
          <w:b w:val="true"/>
        </w:rPr>
        <w:t>：</w:t>
      </w:r>
      <w:r>
        <w:rPr>
          <w:rFonts w:hint="eastAsia" w:ascii="仿宋" w:hAnsi="仿宋" w:eastAsia="仿宋" w:cs="仿宋"/>
        </w:rPr>
        <w:t>反映卫生健康、中医部门所属的专门从事妇产、妇幼保健医院的支出。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二十二、卫生健康支出(类)公立医院(款)其他公立医院支出(项)</w:t>
      </w:r>
      <w:r>
        <w:rPr>
          <w:rFonts w:ascii="仿宋" w:hAnsi="仿宋" w:cs="仿宋" w:eastAsia="仿宋"/>
          <w:b w:val="true"/>
        </w:rPr>
        <w:t>：</w:t>
      </w:r>
      <w:r>
        <w:rPr>
          <w:rFonts w:hint="eastAsia" w:ascii="仿宋" w:hAnsi="仿宋" w:eastAsia="仿宋" w:cs="仿宋"/>
        </w:rPr>
        <w:t>反映除上述项目以外的其他用于公立医院方面的支出。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二十五、卫生健康支出(类)公共卫生(款)突发公共卫生事件应急处理(项)</w:t>
      </w:r>
      <w:r>
        <w:rPr>
          <w:rFonts w:ascii="仿宋" w:hAnsi="仿宋" w:cs="仿宋" w:eastAsia="仿宋"/>
          <w:b w:val="true"/>
        </w:rPr>
        <w:t>：</w:t>
      </w:r>
      <w:r>
        <w:rPr>
          <w:rFonts w:hint="eastAsia" w:ascii="仿宋" w:hAnsi="仿宋" w:eastAsia="仿宋" w:cs="仿宋"/>
        </w:rPr>
        <w:t>反映用于突发公共卫生事件应急处理的支出。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二十七、卫生健康支出(类)其他卫生健康支出(款)其他卫生健康支出(项)</w:t>
      </w:r>
      <w:r>
        <w:rPr>
          <w:rFonts w:ascii="仿宋" w:hAnsi="仿宋" w:cs="仿宋" w:eastAsia="仿宋"/>
          <w:b w:val="true"/>
        </w:rPr>
        <w:t>：</w:t>
      </w:r>
      <w:r>
        <w:rPr>
          <w:rFonts w:hint="eastAsia" w:ascii="仿宋" w:hAnsi="仿宋" w:eastAsia="仿宋" w:cs="仿宋"/>
        </w:rPr>
        <w:t>反映除上述项目以外其他用于卫生健康方面的支出。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三十、其他支出(类)其他政府性基金及对应专项债务收入安排的支出(款)其他政府性基金债务收入安排的支出(项)</w:t>
      </w:r>
      <w:r>
        <w:rPr>
          <w:rFonts w:ascii="仿宋" w:hAnsi="仿宋" w:cs="仿宋" w:eastAsia="仿宋"/>
          <w:b w:val="true"/>
        </w:rPr>
        <w:t>：</w:t>
      </w:r>
      <w:r>
        <w:rPr>
          <w:rFonts w:hint="eastAsia" w:ascii="仿宋" w:hAnsi="仿宋" w:eastAsia="仿宋" w:cs="仿宋"/>
        </w:rPr>
        <w:t>反映其他政府性基金对应专项债务收入安排的支出。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panose1 w:val="020B0604020202020204"/>
    <w:charset w:val="86"/>
    <w:family w:val="roman"/>
    <w:pitch w:val="default"/>
    <w:sig w:usb0="E0000AFF" w:usb1="500078FF" w:usb2="00000021" w:usb3="00000000" w:csb0="600001BF" w:csb1="DFF70000"/>
  </w:font>
  <w:font w:name="Liberation Mono">
    <w:panose1 w:val="02070409020205020404"/>
    <w:charset w:val="86"/>
    <w:family w:val="roman"/>
    <w:pitch w:val="default"/>
    <w:sig w:usb0="E0000AFF" w:usb1="400078FF"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扬州市妇幼保健院</w:t>
    </w:r>
    <w:r>
      <w:t>2022年度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MGUwNWYwNGFmYzNiMTMwMzI4MzFhMzI2ZWRjOTFjMmM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2757</Words>
  <Characters>7652</Characters>
  <Paragraphs>501</Paragraphs>
  <TotalTime>0</TotalTime>
  <ScaleCrop>false</ScaleCrop>
  <LinksUpToDate>false</LinksUpToDate>
  <CharactersWithSpaces>7672</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XC</cp:lastModifiedBy>
  <dcterms:modified xsi:type="dcterms:W3CDTF">2023-06-20T09:35:54Z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